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986"/>
        <w:gridCol w:w="2551"/>
        <w:gridCol w:w="2126"/>
        <w:gridCol w:w="1985"/>
        <w:gridCol w:w="2551"/>
      </w:tblGrid>
      <w:tr w:rsidR="00656D96" w14:paraId="014010EC" w14:textId="77777777" w:rsidTr="007975D3">
        <w:tc>
          <w:tcPr>
            <w:tcW w:w="11199" w:type="dxa"/>
            <w:gridSpan w:val="5"/>
            <w:shd w:val="clear" w:color="auto" w:fill="B4C6E7" w:themeFill="accent1" w:themeFillTint="66"/>
          </w:tcPr>
          <w:p w14:paraId="1003EA4C" w14:textId="47E32A7A" w:rsidR="00240E51" w:rsidRPr="00240E51" w:rsidRDefault="00240E51" w:rsidP="00240E51">
            <w:pPr>
              <w:jc w:val="center"/>
              <w:rPr>
                <w:b/>
                <w:bCs/>
                <w:sz w:val="36"/>
                <w:szCs w:val="36"/>
              </w:rPr>
            </w:pPr>
            <w:r w:rsidRPr="00240E51">
              <w:rPr>
                <w:b/>
                <w:bCs/>
                <w:sz w:val="36"/>
                <w:szCs w:val="36"/>
              </w:rPr>
              <w:t>Primary Ciliary Dyskinesia Plan on a Page</w:t>
            </w:r>
          </w:p>
        </w:tc>
      </w:tr>
      <w:tr w:rsidR="00240E51" w14:paraId="7090F852" w14:textId="77777777" w:rsidTr="007975D3">
        <w:tc>
          <w:tcPr>
            <w:tcW w:w="11199" w:type="dxa"/>
            <w:gridSpan w:val="5"/>
          </w:tcPr>
          <w:p w14:paraId="4071F5D0" w14:textId="06C1A4C6" w:rsidR="00240E51" w:rsidRPr="00FD26D1" w:rsidRDefault="00240E51" w:rsidP="00240E51">
            <w:pPr>
              <w:rPr>
                <w:b/>
                <w:bCs/>
                <w:sz w:val="28"/>
                <w:szCs w:val="28"/>
              </w:rPr>
            </w:pPr>
            <w:r w:rsidRPr="00FD26D1">
              <w:rPr>
                <w:b/>
                <w:bCs/>
                <w:sz w:val="28"/>
                <w:szCs w:val="28"/>
              </w:rPr>
              <w:t>Mission</w:t>
            </w:r>
            <w:r w:rsidR="00E2409A" w:rsidRPr="00FD26D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09CCA25" w14:textId="24428887" w:rsidR="00240E51" w:rsidRPr="00E2409A" w:rsidRDefault="007455A3">
            <w:pPr>
              <w:rPr>
                <w:sz w:val="22"/>
                <w:szCs w:val="22"/>
              </w:rPr>
            </w:pPr>
            <w:r w:rsidRPr="00FD26D1">
              <w:rPr>
                <w:sz w:val="22"/>
                <w:szCs w:val="22"/>
              </w:rPr>
              <w:t xml:space="preserve">PCD Australia supports </w:t>
            </w:r>
            <w:r w:rsidR="00757B59" w:rsidRPr="00FD26D1">
              <w:rPr>
                <w:sz w:val="22"/>
                <w:szCs w:val="22"/>
              </w:rPr>
              <w:t>everyone in its</w:t>
            </w:r>
            <w:r w:rsidRPr="00FD26D1">
              <w:rPr>
                <w:sz w:val="22"/>
                <w:szCs w:val="22"/>
              </w:rPr>
              <w:t xml:space="preserve"> community by </w:t>
            </w:r>
            <w:r w:rsidR="00757B59" w:rsidRPr="00FD26D1">
              <w:rPr>
                <w:sz w:val="22"/>
                <w:szCs w:val="22"/>
              </w:rPr>
              <w:t xml:space="preserve">effectively </w:t>
            </w:r>
            <w:r w:rsidRPr="00FD26D1">
              <w:rPr>
                <w:sz w:val="22"/>
                <w:szCs w:val="22"/>
              </w:rPr>
              <w:t>advocating for improved diagnosis and care while providing</w:t>
            </w:r>
            <w:r w:rsidR="00757B59" w:rsidRPr="00FD26D1">
              <w:rPr>
                <w:sz w:val="22"/>
                <w:szCs w:val="22"/>
              </w:rPr>
              <w:t xml:space="preserve"> tangible</w:t>
            </w:r>
            <w:r w:rsidRPr="00FD26D1">
              <w:rPr>
                <w:sz w:val="22"/>
                <w:szCs w:val="22"/>
              </w:rPr>
              <w:t xml:space="preserve"> support for people with PCD and their families.</w:t>
            </w:r>
          </w:p>
          <w:p w14:paraId="02938639" w14:textId="049343CD" w:rsidR="00240E51" w:rsidRPr="00E2409A" w:rsidRDefault="00240E51">
            <w:pPr>
              <w:rPr>
                <w:sz w:val="22"/>
                <w:szCs w:val="22"/>
              </w:rPr>
            </w:pPr>
          </w:p>
        </w:tc>
      </w:tr>
      <w:tr w:rsidR="00240E51" w14:paraId="7E2D1E0F" w14:textId="77777777" w:rsidTr="007975D3">
        <w:tc>
          <w:tcPr>
            <w:tcW w:w="11199" w:type="dxa"/>
            <w:gridSpan w:val="5"/>
            <w:shd w:val="clear" w:color="auto" w:fill="B4C6E7" w:themeFill="accent1" w:themeFillTint="66"/>
          </w:tcPr>
          <w:p w14:paraId="042E4581" w14:textId="77777777" w:rsidR="00240E51" w:rsidRPr="00E2409A" w:rsidRDefault="00240E51" w:rsidP="00240E51">
            <w:pPr>
              <w:rPr>
                <w:sz w:val="22"/>
                <w:szCs w:val="22"/>
              </w:rPr>
            </w:pPr>
          </w:p>
        </w:tc>
      </w:tr>
      <w:tr w:rsidR="00656D96" w14:paraId="551C6711" w14:textId="77777777" w:rsidTr="007975D3">
        <w:tc>
          <w:tcPr>
            <w:tcW w:w="11199" w:type="dxa"/>
            <w:gridSpan w:val="5"/>
          </w:tcPr>
          <w:p w14:paraId="4F5B72F7" w14:textId="77777777" w:rsidR="00240E51" w:rsidRDefault="00240E51">
            <w:pPr>
              <w:rPr>
                <w:b/>
                <w:bCs/>
                <w:sz w:val="28"/>
                <w:szCs w:val="28"/>
              </w:rPr>
            </w:pPr>
            <w:r w:rsidRPr="0001454E">
              <w:rPr>
                <w:b/>
                <w:bCs/>
                <w:sz w:val="28"/>
                <w:szCs w:val="28"/>
              </w:rPr>
              <w:t>Objective</w:t>
            </w:r>
            <w:r w:rsidR="00620483">
              <w:rPr>
                <w:b/>
                <w:bCs/>
                <w:sz w:val="28"/>
                <w:szCs w:val="28"/>
              </w:rPr>
              <w:t>s</w:t>
            </w:r>
          </w:p>
          <w:p w14:paraId="6FA18301" w14:textId="26826639" w:rsidR="008145EF" w:rsidRPr="00DA55D5" w:rsidRDefault="008145EF" w:rsidP="00DA55D5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DA55D5">
              <w:rPr>
                <w:b/>
                <w:bCs/>
              </w:rPr>
              <w:t>Improve diagnosis and care</w:t>
            </w:r>
          </w:p>
          <w:p w14:paraId="11D5E0C4" w14:textId="4A3015F9" w:rsidR="008145EF" w:rsidRPr="00DA55D5" w:rsidRDefault="008145EF" w:rsidP="00DA55D5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DA55D5">
              <w:rPr>
                <w:b/>
                <w:bCs/>
              </w:rPr>
              <w:t>Support people with PCD and their families</w:t>
            </w:r>
          </w:p>
        </w:tc>
      </w:tr>
      <w:tr w:rsidR="00312781" w14:paraId="52C0B18C" w14:textId="77777777" w:rsidTr="00312781">
        <w:tc>
          <w:tcPr>
            <w:tcW w:w="1986" w:type="dxa"/>
          </w:tcPr>
          <w:p w14:paraId="4849837F" w14:textId="567CFF7E" w:rsidR="00656D96" w:rsidRPr="00312781" w:rsidRDefault="00656D96">
            <w:pPr>
              <w:rPr>
                <w:b/>
                <w:bCs/>
              </w:rPr>
            </w:pPr>
            <w:r w:rsidRPr="00312781">
              <w:rPr>
                <w:b/>
                <w:bCs/>
              </w:rPr>
              <w:t xml:space="preserve">Advocacy </w:t>
            </w:r>
          </w:p>
        </w:tc>
        <w:tc>
          <w:tcPr>
            <w:tcW w:w="2551" w:type="dxa"/>
          </w:tcPr>
          <w:p w14:paraId="47467D9F" w14:textId="10A8D468" w:rsidR="00656D96" w:rsidRPr="00312781" w:rsidRDefault="00656D96">
            <w:pPr>
              <w:rPr>
                <w:b/>
                <w:bCs/>
              </w:rPr>
            </w:pPr>
            <w:r w:rsidRPr="00312781">
              <w:rPr>
                <w:b/>
                <w:bCs/>
              </w:rPr>
              <w:t>Information</w:t>
            </w:r>
            <w:r w:rsidR="00312781" w:rsidRPr="00312781">
              <w:rPr>
                <w:b/>
                <w:bCs/>
              </w:rPr>
              <w:t xml:space="preserve">, Education &amp; </w:t>
            </w:r>
            <w:r w:rsidRPr="00312781">
              <w:rPr>
                <w:b/>
                <w:bCs/>
              </w:rPr>
              <w:t>Awareness</w:t>
            </w:r>
          </w:p>
        </w:tc>
        <w:tc>
          <w:tcPr>
            <w:tcW w:w="2126" w:type="dxa"/>
          </w:tcPr>
          <w:p w14:paraId="764E1879" w14:textId="50FC79DA" w:rsidR="00656D96" w:rsidRPr="00312781" w:rsidRDefault="00656D96">
            <w:pPr>
              <w:rPr>
                <w:b/>
                <w:bCs/>
              </w:rPr>
            </w:pPr>
            <w:r w:rsidRPr="00312781">
              <w:rPr>
                <w:b/>
                <w:bCs/>
              </w:rPr>
              <w:t>Clinical Improvement</w:t>
            </w:r>
          </w:p>
        </w:tc>
        <w:tc>
          <w:tcPr>
            <w:tcW w:w="1985" w:type="dxa"/>
          </w:tcPr>
          <w:p w14:paraId="2D0DC063" w14:textId="27FA6F59" w:rsidR="00656D96" w:rsidRPr="00312781" w:rsidRDefault="00656D96">
            <w:pPr>
              <w:rPr>
                <w:b/>
                <w:bCs/>
              </w:rPr>
            </w:pPr>
            <w:r w:rsidRPr="00312781">
              <w:rPr>
                <w:b/>
                <w:bCs/>
              </w:rPr>
              <w:t>Research</w:t>
            </w:r>
            <w:r w:rsidR="00312781" w:rsidRPr="00312781">
              <w:rPr>
                <w:b/>
                <w:bCs/>
              </w:rPr>
              <w:t xml:space="preserve">, Data &amp; </w:t>
            </w:r>
            <w:r w:rsidRPr="00312781">
              <w:rPr>
                <w:b/>
                <w:bCs/>
              </w:rPr>
              <w:t>Clinical Trials</w:t>
            </w:r>
          </w:p>
        </w:tc>
        <w:tc>
          <w:tcPr>
            <w:tcW w:w="2551" w:type="dxa"/>
          </w:tcPr>
          <w:p w14:paraId="039A5522" w14:textId="5B9FABE9" w:rsidR="00656D96" w:rsidRPr="00312781" w:rsidRDefault="00656D96">
            <w:pPr>
              <w:rPr>
                <w:b/>
                <w:bCs/>
              </w:rPr>
            </w:pPr>
            <w:r w:rsidRPr="00312781">
              <w:rPr>
                <w:b/>
                <w:bCs/>
              </w:rPr>
              <w:t>Community Support</w:t>
            </w:r>
          </w:p>
        </w:tc>
      </w:tr>
      <w:tr w:rsidR="00312781" w14:paraId="514F72AE" w14:textId="77777777" w:rsidTr="00312781">
        <w:tc>
          <w:tcPr>
            <w:tcW w:w="1986" w:type="dxa"/>
          </w:tcPr>
          <w:p w14:paraId="07F01948" w14:textId="77777777" w:rsidR="002B5ACA" w:rsidRPr="00E2409A" w:rsidRDefault="002B5ACA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2409A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Current Activity </w:t>
            </w:r>
          </w:p>
          <w:p w14:paraId="45682A8A" w14:textId="762AE9D2" w:rsidR="00656D96" w:rsidRPr="00E2409A" w:rsidRDefault="00656D96" w:rsidP="006F0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624698" w14:textId="705254C3" w:rsidR="002B5ACA" w:rsidRPr="00E2409A" w:rsidRDefault="002B5ACA" w:rsidP="002B5ACA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2409A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Current Activity </w:t>
            </w:r>
          </w:p>
          <w:p w14:paraId="0FF1EC99" w14:textId="77777777" w:rsidR="00656D96" w:rsidRPr="008145EF" w:rsidRDefault="002B5ACA" w:rsidP="008145EF">
            <w:pPr>
              <w:rPr>
                <w:color w:val="000000" w:themeColor="text1"/>
                <w:sz w:val="22"/>
                <w:szCs w:val="22"/>
              </w:rPr>
            </w:pPr>
            <w:r w:rsidRPr="008145EF">
              <w:rPr>
                <w:color w:val="000000" w:themeColor="text1"/>
                <w:sz w:val="22"/>
                <w:szCs w:val="22"/>
              </w:rPr>
              <w:t>Website</w:t>
            </w:r>
          </w:p>
          <w:p w14:paraId="3B6940BC" w14:textId="5966E0C6" w:rsidR="006F0707" w:rsidRPr="008145EF" w:rsidRDefault="006F0707" w:rsidP="008145EF">
            <w:pPr>
              <w:rPr>
                <w:color w:val="000000" w:themeColor="text1"/>
                <w:sz w:val="22"/>
                <w:szCs w:val="22"/>
              </w:rPr>
            </w:pPr>
            <w:r w:rsidRPr="008145EF">
              <w:rPr>
                <w:color w:val="000000" w:themeColor="text1"/>
                <w:sz w:val="22"/>
                <w:szCs w:val="22"/>
              </w:rPr>
              <w:t>Social Media</w:t>
            </w:r>
          </w:p>
          <w:p w14:paraId="5AC9ECF6" w14:textId="0F947BD4" w:rsidR="006F0707" w:rsidRPr="008145EF" w:rsidRDefault="006F0707" w:rsidP="008145EF">
            <w:pPr>
              <w:rPr>
                <w:color w:val="000000" w:themeColor="text1"/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Peer Support</w:t>
            </w:r>
          </w:p>
          <w:p w14:paraId="55358AFD" w14:textId="77777777" w:rsidR="006F0707" w:rsidRPr="008145EF" w:rsidRDefault="006F0707" w:rsidP="008145EF">
            <w:pPr>
              <w:rPr>
                <w:color w:val="000000" w:themeColor="text1"/>
                <w:sz w:val="22"/>
                <w:szCs w:val="22"/>
              </w:rPr>
            </w:pPr>
            <w:r w:rsidRPr="008145EF">
              <w:rPr>
                <w:color w:val="000000" w:themeColor="text1"/>
                <w:sz w:val="22"/>
                <w:szCs w:val="22"/>
              </w:rPr>
              <w:t>Videos</w:t>
            </w:r>
          </w:p>
          <w:p w14:paraId="66D572D6" w14:textId="77777777" w:rsidR="0001454E" w:rsidRDefault="0001454E" w:rsidP="008145EF">
            <w:pPr>
              <w:rPr>
                <w:color w:val="000000" w:themeColor="text1"/>
                <w:sz w:val="22"/>
                <w:szCs w:val="22"/>
              </w:rPr>
            </w:pPr>
            <w:r w:rsidRPr="008145EF">
              <w:rPr>
                <w:color w:val="000000" w:themeColor="text1"/>
                <w:sz w:val="22"/>
                <w:szCs w:val="22"/>
              </w:rPr>
              <w:t xml:space="preserve"> ‘Listening’</w:t>
            </w:r>
            <w:r w:rsidR="00A77A51" w:rsidRPr="008145EF">
              <w:rPr>
                <w:color w:val="000000" w:themeColor="text1"/>
                <w:sz w:val="22"/>
                <w:szCs w:val="22"/>
              </w:rPr>
              <w:t xml:space="preserve"> survey</w:t>
            </w:r>
          </w:p>
          <w:p w14:paraId="4834D270" w14:textId="08A0E649" w:rsidR="005563CD" w:rsidRPr="008145EF" w:rsidRDefault="005563CD" w:rsidP="008145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AGM Speakers</w:t>
            </w:r>
          </w:p>
        </w:tc>
        <w:tc>
          <w:tcPr>
            <w:tcW w:w="2126" w:type="dxa"/>
          </w:tcPr>
          <w:p w14:paraId="0BEE933B" w14:textId="77777777" w:rsidR="002B5ACA" w:rsidRPr="00E2409A" w:rsidRDefault="002B5ACA" w:rsidP="002B5ACA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2409A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Current Activity </w:t>
            </w:r>
          </w:p>
          <w:p w14:paraId="2D79F884" w14:textId="0BBED012" w:rsidR="00656D96" w:rsidRPr="008145EF" w:rsidRDefault="002B5ACA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Standards of Care</w:t>
            </w:r>
          </w:p>
        </w:tc>
        <w:tc>
          <w:tcPr>
            <w:tcW w:w="1985" w:type="dxa"/>
          </w:tcPr>
          <w:p w14:paraId="5A92F132" w14:textId="77777777" w:rsidR="002B5ACA" w:rsidRPr="00E2409A" w:rsidRDefault="002B5ACA" w:rsidP="002B5ACA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2409A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Current Activity </w:t>
            </w:r>
          </w:p>
          <w:p w14:paraId="4E2CFFDB" w14:textId="77777777" w:rsidR="00656D96" w:rsidRDefault="006F0707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Trial recruitment</w:t>
            </w:r>
            <w:r w:rsidR="005563CD">
              <w:rPr>
                <w:sz w:val="22"/>
                <w:szCs w:val="22"/>
              </w:rPr>
              <w:t xml:space="preserve"> ‘Repeat’</w:t>
            </w:r>
          </w:p>
          <w:p w14:paraId="3B3FB406" w14:textId="1F4A3299" w:rsidR="005563CD" w:rsidRPr="008145EF" w:rsidRDefault="005563CD" w:rsidP="008145E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23BFA8B" w14:textId="77777777" w:rsidR="002B5ACA" w:rsidRPr="00E2409A" w:rsidRDefault="002B5ACA" w:rsidP="002B5ACA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2409A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Current Activity </w:t>
            </w:r>
          </w:p>
          <w:p w14:paraId="305CE3D8" w14:textId="77777777" w:rsidR="00656D96" w:rsidRPr="008145EF" w:rsidRDefault="00307C51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Nebulisers &amp; other equipment</w:t>
            </w:r>
          </w:p>
          <w:p w14:paraId="7EB0E92F" w14:textId="15E682BC" w:rsidR="00307C51" w:rsidRPr="008145EF" w:rsidRDefault="00A77A51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 xml:space="preserve">Hospital </w:t>
            </w:r>
            <w:r w:rsidR="00307C51" w:rsidRPr="008145EF">
              <w:rPr>
                <w:sz w:val="22"/>
                <w:szCs w:val="22"/>
              </w:rPr>
              <w:t>Gift Bags</w:t>
            </w:r>
          </w:p>
          <w:p w14:paraId="15EA1C61" w14:textId="3E4E16C1" w:rsidR="00307C51" w:rsidRPr="008145EF" w:rsidRDefault="00307C51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Parking</w:t>
            </w:r>
          </w:p>
        </w:tc>
      </w:tr>
      <w:tr w:rsidR="008145EF" w14:paraId="5FAFB779" w14:textId="77777777" w:rsidTr="00312781">
        <w:tc>
          <w:tcPr>
            <w:tcW w:w="1986" w:type="dxa"/>
          </w:tcPr>
          <w:p w14:paraId="332235CA" w14:textId="77777777" w:rsidR="002B5ACA" w:rsidRPr="00E2409A" w:rsidRDefault="002B5ACA">
            <w:pPr>
              <w:rPr>
                <w:b/>
                <w:bCs/>
                <w:sz w:val="22"/>
                <w:szCs w:val="22"/>
                <w:u w:val="single"/>
              </w:rPr>
            </w:pPr>
            <w:r w:rsidRPr="00E2409A">
              <w:rPr>
                <w:b/>
                <w:bCs/>
                <w:sz w:val="22"/>
                <w:szCs w:val="22"/>
                <w:u w:val="single"/>
              </w:rPr>
              <w:t>Future Opportunities</w:t>
            </w:r>
          </w:p>
          <w:p w14:paraId="727B0CD0" w14:textId="079CFCD0" w:rsidR="006F0707" w:rsidRPr="008145EF" w:rsidRDefault="006F0707" w:rsidP="008145EF">
            <w:pPr>
              <w:rPr>
                <w:color w:val="000000" w:themeColor="text1"/>
                <w:sz w:val="22"/>
                <w:szCs w:val="22"/>
              </w:rPr>
            </w:pPr>
            <w:r w:rsidRPr="008145EF">
              <w:rPr>
                <w:color w:val="000000" w:themeColor="text1"/>
                <w:sz w:val="22"/>
                <w:szCs w:val="22"/>
              </w:rPr>
              <w:t>Drug Access</w:t>
            </w:r>
          </w:p>
          <w:p w14:paraId="75A787E9" w14:textId="2D1E44E9" w:rsidR="006F0707" w:rsidRPr="008145EF" w:rsidRDefault="006F0707" w:rsidP="008145EF">
            <w:pPr>
              <w:rPr>
                <w:color w:val="000000" w:themeColor="text1"/>
                <w:sz w:val="22"/>
                <w:szCs w:val="22"/>
              </w:rPr>
            </w:pPr>
            <w:r w:rsidRPr="008145EF">
              <w:rPr>
                <w:color w:val="000000" w:themeColor="text1"/>
                <w:sz w:val="22"/>
                <w:szCs w:val="22"/>
              </w:rPr>
              <w:t>Hospital Expertise</w:t>
            </w:r>
          </w:p>
          <w:p w14:paraId="7D467123" w14:textId="749B6990" w:rsidR="006F0707" w:rsidRPr="008145EF" w:rsidRDefault="006F0707" w:rsidP="008145EF">
            <w:pPr>
              <w:rPr>
                <w:color w:val="000000" w:themeColor="text1"/>
                <w:sz w:val="22"/>
                <w:szCs w:val="22"/>
              </w:rPr>
            </w:pPr>
            <w:r w:rsidRPr="008145EF">
              <w:rPr>
                <w:color w:val="000000" w:themeColor="text1"/>
                <w:sz w:val="22"/>
                <w:szCs w:val="22"/>
              </w:rPr>
              <w:t>Hospital Services</w:t>
            </w:r>
          </w:p>
          <w:p w14:paraId="3715FBB1" w14:textId="17158551" w:rsidR="006F0707" w:rsidRPr="008145EF" w:rsidRDefault="006F0707" w:rsidP="008145EF">
            <w:pPr>
              <w:rPr>
                <w:color w:val="000000" w:themeColor="text1"/>
                <w:sz w:val="22"/>
                <w:szCs w:val="22"/>
              </w:rPr>
            </w:pPr>
            <w:r w:rsidRPr="008145EF">
              <w:rPr>
                <w:color w:val="000000" w:themeColor="text1"/>
                <w:sz w:val="22"/>
                <w:szCs w:val="22"/>
              </w:rPr>
              <w:t>Financial Burden</w:t>
            </w:r>
            <w:r w:rsidR="00B22B81" w:rsidRPr="008145E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E2D7785" w14:textId="54296BC2" w:rsidR="002B5ACA" w:rsidRPr="008145EF" w:rsidRDefault="007975D3" w:rsidP="0081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Engage </w:t>
            </w:r>
            <w:r w:rsidR="006F0707" w:rsidRPr="008145EF">
              <w:rPr>
                <w:sz w:val="22"/>
                <w:szCs w:val="22"/>
              </w:rPr>
              <w:t>Politic</w:t>
            </w:r>
            <w:r>
              <w:rPr>
                <w:sz w:val="22"/>
                <w:szCs w:val="22"/>
              </w:rPr>
              <w:t>ians</w:t>
            </w:r>
          </w:p>
          <w:p w14:paraId="5BC1B80A" w14:textId="583E85D0" w:rsidR="0001454E" w:rsidRPr="008145EF" w:rsidRDefault="0001454E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Rural &amp; Remote</w:t>
            </w:r>
          </w:p>
        </w:tc>
        <w:tc>
          <w:tcPr>
            <w:tcW w:w="2551" w:type="dxa"/>
          </w:tcPr>
          <w:p w14:paraId="4FC3F9FE" w14:textId="77777777" w:rsidR="002B5ACA" w:rsidRPr="00E2409A" w:rsidRDefault="002B5ACA" w:rsidP="002B5ACA">
            <w:pPr>
              <w:rPr>
                <w:b/>
                <w:bCs/>
                <w:sz w:val="22"/>
                <w:szCs w:val="22"/>
                <w:u w:val="single"/>
              </w:rPr>
            </w:pPr>
            <w:r w:rsidRPr="00E2409A">
              <w:rPr>
                <w:b/>
                <w:bCs/>
                <w:sz w:val="22"/>
                <w:szCs w:val="22"/>
                <w:u w:val="single"/>
              </w:rPr>
              <w:t>Future Opportunities</w:t>
            </w:r>
          </w:p>
          <w:p w14:paraId="397FBA1D" w14:textId="3E380103" w:rsidR="002B5ACA" w:rsidRPr="008145EF" w:rsidRDefault="00307C51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Mentor</w:t>
            </w:r>
            <w:r w:rsidR="008145EF">
              <w:rPr>
                <w:sz w:val="22"/>
                <w:szCs w:val="22"/>
              </w:rPr>
              <w:t>/</w:t>
            </w:r>
            <w:r w:rsidRPr="008145EF">
              <w:rPr>
                <w:sz w:val="22"/>
                <w:szCs w:val="22"/>
              </w:rPr>
              <w:t>Buddy</w:t>
            </w:r>
            <w:r w:rsidR="007975D3">
              <w:rPr>
                <w:sz w:val="22"/>
                <w:szCs w:val="22"/>
              </w:rPr>
              <w:t xml:space="preserve"> </w:t>
            </w:r>
            <w:r w:rsidRPr="008145EF">
              <w:rPr>
                <w:sz w:val="22"/>
                <w:szCs w:val="22"/>
              </w:rPr>
              <w:t>program</w:t>
            </w:r>
          </w:p>
          <w:p w14:paraId="13559DD6" w14:textId="45C0D25A" w:rsidR="00B22B81" w:rsidRDefault="00B22B81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Lay Conference</w:t>
            </w:r>
          </w:p>
          <w:p w14:paraId="11529333" w14:textId="511E8243" w:rsidR="008003D9" w:rsidRDefault="008003D9" w:rsidP="0081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Strengthen partnerships with NFPs, Pharma &amp; corporates</w:t>
            </w:r>
          </w:p>
          <w:p w14:paraId="1A78253A" w14:textId="798445A5" w:rsidR="008003D9" w:rsidRDefault="008003D9" w:rsidP="0081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PCDA work</w:t>
            </w:r>
          </w:p>
          <w:p w14:paraId="31BE3E10" w14:textId="5BD63EAF" w:rsidR="001A49C9" w:rsidRPr="007975D3" w:rsidRDefault="005563CD" w:rsidP="00DA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database</w:t>
            </w:r>
          </w:p>
        </w:tc>
        <w:tc>
          <w:tcPr>
            <w:tcW w:w="2126" w:type="dxa"/>
          </w:tcPr>
          <w:p w14:paraId="2C5A75AB" w14:textId="77777777" w:rsidR="002B5ACA" w:rsidRPr="00E2409A" w:rsidRDefault="002B5ACA" w:rsidP="002B5ACA">
            <w:pPr>
              <w:rPr>
                <w:b/>
                <w:bCs/>
                <w:sz w:val="22"/>
                <w:szCs w:val="22"/>
                <w:u w:val="single"/>
              </w:rPr>
            </w:pPr>
            <w:r w:rsidRPr="00E2409A">
              <w:rPr>
                <w:b/>
                <w:bCs/>
                <w:sz w:val="22"/>
                <w:szCs w:val="22"/>
                <w:u w:val="single"/>
              </w:rPr>
              <w:t>Future Opportunities</w:t>
            </w:r>
          </w:p>
          <w:p w14:paraId="6D46D6C8" w14:textId="70EF5583" w:rsidR="002B5ACA" w:rsidRPr="008145EF" w:rsidRDefault="00B22B81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 xml:space="preserve">Medical </w:t>
            </w:r>
            <w:r w:rsidR="006F0707" w:rsidRPr="008145EF">
              <w:rPr>
                <w:sz w:val="22"/>
                <w:szCs w:val="22"/>
              </w:rPr>
              <w:t>Conference</w:t>
            </w:r>
          </w:p>
          <w:p w14:paraId="3BDC6A07" w14:textId="77777777" w:rsidR="006F0707" w:rsidRPr="008145EF" w:rsidRDefault="006F0707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Data Registry</w:t>
            </w:r>
          </w:p>
          <w:p w14:paraId="008832B7" w14:textId="77777777" w:rsidR="006F0707" w:rsidRPr="008145EF" w:rsidRDefault="006F0707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Clinician Forum</w:t>
            </w:r>
          </w:p>
          <w:p w14:paraId="492AB586" w14:textId="77777777" w:rsidR="00544A72" w:rsidRPr="008145EF" w:rsidRDefault="008145EF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Better diagnosis</w:t>
            </w:r>
          </w:p>
          <w:p w14:paraId="408538AB" w14:textId="77777777" w:rsidR="008145EF" w:rsidRDefault="008145EF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Clinical engagement</w:t>
            </w:r>
          </w:p>
          <w:p w14:paraId="6A5FAAE6" w14:textId="5417D9DA" w:rsidR="00DA55D5" w:rsidRPr="008145EF" w:rsidRDefault="00DA55D5" w:rsidP="0081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‘Transition’</w:t>
            </w:r>
          </w:p>
        </w:tc>
        <w:tc>
          <w:tcPr>
            <w:tcW w:w="1985" w:type="dxa"/>
          </w:tcPr>
          <w:p w14:paraId="2560E648" w14:textId="77777777" w:rsidR="002B5ACA" w:rsidRPr="00E2409A" w:rsidRDefault="002B5ACA" w:rsidP="002B5ACA">
            <w:pPr>
              <w:rPr>
                <w:b/>
                <w:bCs/>
                <w:sz w:val="22"/>
                <w:szCs w:val="22"/>
                <w:u w:val="single"/>
              </w:rPr>
            </w:pPr>
            <w:r w:rsidRPr="00E2409A">
              <w:rPr>
                <w:b/>
                <w:bCs/>
                <w:sz w:val="22"/>
                <w:szCs w:val="22"/>
                <w:u w:val="single"/>
              </w:rPr>
              <w:t>Future Opportunities</w:t>
            </w:r>
          </w:p>
          <w:p w14:paraId="01434D81" w14:textId="6FF7D114" w:rsidR="002B5ACA" w:rsidRPr="008145EF" w:rsidRDefault="006F0707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Fund PCD research projects</w:t>
            </w:r>
          </w:p>
          <w:p w14:paraId="46CBC4AD" w14:textId="65CBABF0" w:rsidR="006F0707" w:rsidRPr="008145EF" w:rsidRDefault="006F0707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Fund PCD clinician training</w:t>
            </w:r>
          </w:p>
          <w:p w14:paraId="732C3782" w14:textId="320D5B02" w:rsidR="006F0707" w:rsidRPr="00E2409A" w:rsidRDefault="006F0707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Bring OS trials to Australia</w:t>
            </w:r>
          </w:p>
        </w:tc>
        <w:tc>
          <w:tcPr>
            <w:tcW w:w="2551" w:type="dxa"/>
          </w:tcPr>
          <w:p w14:paraId="116F24BC" w14:textId="77777777" w:rsidR="002B5ACA" w:rsidRPr="00E2409A" w:rsidRDefault="002B5ACA" w:rsidP="002B5ACA">
            <w:pPr>
              <w:rPr>
                <w:b/>
                <w:bCs/>
                <w:sz w:val="22"/>
                <w:szCs w:val="22"/>
                <w:u w:val="single"/>
              </w:rPr>
            </w:pPr>
            <w:r w:rsidRPr="00E2409A">
              <w:rPr>
                <w:b/>
                <w:bCs/>
                <w:sz w:val="22"/>
                <w:szCs w:val="22"/>
                <w:u w:val="single"/>
              </w:rPr>
              <w:t>Future Opportunities</w:t>
            </w:r>
          </w:p>
          <w:p w14:paraId="57123553" w14:textId="44731D3F" w:rsidR="002B5ACA" w:rsidRPr="008145EF" w:rsidRDefault="00307C51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Exercise</w:t>
            </w:r>
            <w:r w:rsidR="008145EF">
              <w:rPr>
                <w:sz w:val="22"/>
                <w:szCs w:val="22"/>
              </w:rPr>
              <w:t>/</w:t>
            </w:r>
            <w:r w:rsidRPr="008145EF">
              <w:rPr>
                <w:sz w:val="22"/>
                <w:szCs w:val="22"/>
              </w:rPr>
              <w:t>gym supp</w:t>
            </w:r>
            <w:r w:rsidR="008145EF">
              <w:rPr>
                <w:sz w:val="22"/>
                <w:szCs w:val="22"/>
              </w:rPr>
              <w:t>ort</w:t>
            </w:r>
          </w:p>
          <w:p w14:paraId="66E0B293" w14:textId="57F863A3" w:rsidR="00307C51" w:rsidRDefault="00307C51" w:rsidP="008145EF">
            <w:pPr>
              <w:rPr>
                <w:sz w:val="22"/>
                <w:szCs w:val="22"/>
              </w:rPr>
            </w:pPr>
            <w:r w:rsidRPr="008145EF">
              <w:rPr>
                <w:sz w:val="22"/>
                <w:szCs w:val="22"/>
              </w:rPr>
              <w:t>Supplements</w:t>
            </w:r>
          </w:p>
          <w:p w14:paraId="6F1342C6" w14:textId="259AFBF6" w:rsidR="008003D9" w:rsidRDefault="008003D9" w:rsidP="0081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Broaden support to include more than parents of PCD kids</w:t>
            </w:r>
          </w:p>
          <w:p w14:paraId="19A86DE1" w14:textId="77777777" w:rsidR="00307C51" w:rsidRDefault="008003D9" w:rsidP="0079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 comms</w:t>
            </w:r>
          </w:p>
          <w:p w14:paraId="025A5D08" w14:textId="14475AA0" w:rsidR="00312781" w:rsidRPr="007975D3" w:rsidRDefault="00312781" w:rsidP="0079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participation</w:t>
            </w:r>
          </w:p>
        </w:tc>
      </w:tr>
      <w:tr w:rsidR="00656D96" w14:paraId="3648FB65" w14:textId="77777777" w:rsidTr="007975D3">
        <w:tc>
          <w:tcPr>
            <w:tcW w:w="11199" w:type="dxa"/>
            <w:gridSpan w:val="5"/>
            <w:shd w:val="clear" w:color="auto" w:fill="B4C6E7" w:themeFill="accent1" w:themeFillTint="66"/>
          </w:tcPr>
          <w:p w14:paraId="500DA392" w14:textId="77777777" w:rsidR="00656D96" w:rsidRPr="00E2409A" w:rsidRDefault="00656D96">
            <w:pPr>
              <w:rPr>
                <w:sz w:val="22"/>
                <w:szCs w:val="22"/>
              </w:rPr>
            </w:pPr>
          </w:p>
        </w:tc>
      </w:tr>
      <w:tr w:rsidR="0001454E" w14:paraId="107047EA" w14:textId="77777777" w:rsidTr="007975D3">
        <w:tc>
          <w:tcPr>
            <w:tcW w:w="11199" w:type="dxa"/>
            <w:gridSpan w:val="5"/>
          </w:tcPr>
          <w:p w14:paraId="2A05210B" w14:textId="77777777" w:rsidR="0001454E" w:rsidRPr="0001454E" w:rsidRDefault="0001454E">
            <w:pPr>
              <w:rPr>
                <w:b/>
                <w:bCs/>
                <w:sz w:val="28"/>
                <w:szCs w:val="28"/>
              </w:rPr>
            </w:pPr>
            <w:r w:rsidRPr="0001454E">
              <w:rPr>
                <w:b/>
                <w:bCs/>
                <w:sz w:val="28"/>
                <w:szCs w:val="28"/>
              </w:rPr>
              <w:t>Communication</w:t>
            </w:r>
          </w:p>
          <w:p w14:paraId="2D251F69" w14:textId="22DA7154" w:rsidR="0001454E" w:rsidRPr="00E2409A" w:rsidRDefault="003C7A0E">
            <w:pPr>
              <w:rPr>
                <w:sz w:val="22"/>
                <w:szCs w:val="22"/>
              </w:rPr>
            </w:pPr>
            <w:r w:rsidRPr="00E2409A">
              <w:rPr>
                <w:sz w:val="22"/>
                <w:szCs w:val="22"/>
              </w:rPr>
              <w:t>… currently through local community stakeholders, PCD websites and social media.</w:t>
            </w:r>
          </w:p>
          <w:p w14:paraId="2C4DFDA5" w14:textId="77777777" w:rsidR="003C7A0E" w:rsidRPr="00E2409A" w:rsidRDefault="003C7A0E">
            <w:pPr>
              <w:rPr>
                <w:sz w:val="22"/>
                <w:szCs w:val="22"/>
              </w:rPr>
            </w:pPr>
          </w:p>
          <w:p w14:paraId="73A759C1" w14:textId="77777777" w:rsidR="003C7A0E" w:rsidRPr="00E2409A" w:rsidRDefault="003C7A0E">
            <w:pPr>
              <w:rPr>
                <w:sz w:val="22"/>
                <w:szCs w:val="22"/>
              </w:rPr>
            </w:pPr>
            <w:r w:rsidRPr="00E2409A">
              <w:rPr>
                <w:sz w:val="22"/>
                <w:szCs w:val="22"/>
              </w:rPr>
              <w:t xml:space="preserve">… future opportunities include greater engagement with local community and stakeholders, international collaborations, clinical stakeholders, </w:t>
            </w:r>
            <w:r w:rsidR="00E2409A" w:rsidRPr="00E2409A">
              <w:rPr>
                <w:sz w:val="22"/>
                <w:szCs w:val="22"/>
              </w:rPr>
              <w:t xml:space="preserve">more interactivity on </w:t>
            </w:r>
            <w:r w:rsidRPr="00E2409A">
              <w:rPr>
                <w:sz w:val="22"/>
                <w:szCs w:val="22"/>
              </w:rPr>
              <w:t xml:space="preserve">websites, partner portals, public relations and </w:t>
            </w:r>
            <w:r w:rsidR="00E2409A" w:rsidRPr="00E2409A">
              <w:rPr>
                <w:sz w:val="22"/>
                <w:szCs w:val="22"/>
              </w:rPr>
              <w:t xml:space="preserve">regular </w:t>
            </w:r>
            <w:r w:rsidRPr="00E2409A">
              <w:rPr>
                <w:sz w:val="22"/>
                <w:szCs w:val="22"/>
              </w:rPr>
              <w:t>social media</w:t>
            </w:r>
            <w:r w:rsidR="00E2409A" w:rsidRPr="00E2409A">
              <w:rPr>
                <w:sz w:val="22"/>
                <w:szCs w:val="22"/>
              </w:rPr>
              <w:t xml:space="preserve"> posting.</w:t>
            </w:r>
          </w:p>
          <w:p w14:paraId="7178F492" w14:textId="77777777" w:rsidR="00E2409A" w:rsidRPr="00E2409A" w:rsidRDefault="00E2409A">
            <w:pPr>
              <w:rPr>
                <w:sz w:val="22"/>
                <w:szCs w:val="22"/>
              </w:rPr>
            </w:pPr>
          </w:p>
          <w:p w14:paraId="77D00A11" w14:textId="77777777" w:rsidR="00E2409A" w:rsidRPr="00FD26D1" w:rsidRDefault="00E2409A">
            <w:pPr>
              <w:rPr>
                <w:b/>
                <w:bCs/>
                <w:sz w:val="22"/>
                <w:szCs w:val="22"/>
              </w:rPr>
            </w:pPr>
            <w:r w:rsidRPr="00FD26D1">
              <w:rPr>
                <w:b/>
                <w:bCs/>
                <w:sz w:val="22"/>
                <w:szCs w:val="22"/>
              </w:rPr>
              <w:t>Lift Pitch</w:t>
            </w:r>
          </w:p>
          <w:p w14:paraId="5F2066F3" w14:textId="21E5D8C3" w:rsidR="00E2409A" w:rsidRPr="00FD26D1" w:rsidRDefault="007455A3">
            <w:pPr>
              <w:rPr>
                <w:sz w:val="22"/>
                <w:szCs w:val="22"/>
              </w:rPr>
            </w:pPr>
            <w:r w:rsidRPr="00FD26D1">
              <w:rPr>
                <w:sz w:val="22"/>
                <w:szCs w:val="22"/>
              </w:rPr>
              <w:t xml:space="preserve">PCD Australia is the national patient body working to </w:t>
            </w:r>
            <w:r w:rsidR="00757B59" w:rsidRPr="00FD26D1">
              <w:rPr>
                <w:sz w:val="22"/>
                <w:szCs w:val="22"/>
              </w:rPr>
              <w:t xml:space="preserve">increase recognition of this disease, </w:t>
            </w:r>
            <w:r w:rsidRPr="00FD26D1">
              <w:rPr>
                <w:sz w:val="22"/>
                <w:szCs w:val="22"/>
              </w:rPr>
              <w:t xml:space="preserve">accelerate diagnosis and improve care while providing valuable </w:t>
            </w:r>
            <w:r w:rsidR="004A700D" w:rsidRPr="00FD26D1">
              <w:rPr>
                <w:sz w:val="22"/>
                <w:szCs w:val="22"/>
              </w:rPr>
              <w:t>‘</w:t>
            </w:r>
            <w:r w:rsidRPr="00FD26D1">
              <w:rPr>
                <w:sz w:val="22"/>
                <w:szCs w:val="22"/>
              </w:rPr>
              <w:t>hands on</w:t>
            </w:r>
            <w:r w:rsidR="004A700D" w:rsidRPr="00FD26D1">
              <w:rPr>
                <w:sz w:val="22"/>
                <w:szCs w:val="22"/>
              </w:rPr>
              <w:t>’</w:t>
            </w:r>
            <w:r w:rsidRPr="00FD26D1">
              <w:rPr>
                <w:sz w:val="22"/>
                <w:szCs w:val="22"/>
              </w:rPr>
              <w:t xml:space="preserve"> support for people with PCD.</w:t>
            </w:r>
          </w:p>
          <w:p w14:paraId="0A7424A1" w14:textId="77777777" w:rsidR="00E2409A" w:rsidRPr="00FD26D1" w:rsidRDefault="00E2409A">
            <w:pPr>
              <w:rPr>
                <w:sz w:val="22"/>
                <w:szCs w:val="22"/>
              </w:rPr>
            </w:pPr>
          </w:p>
          <w:p w14:paraId="0453B2E9" w14:textId="77777777" w:rsidR="00E2409A" w:rsidRPr="00FD26D1" w:rsidRDefault="00E2409A">
            <w:pPr>
              <w:rPr>
                <w:b/>
                <w:bCs/>
                <w:sz w:val="22"/>
                <w:szCs w:val="22"/>
              </w:rPr>
            </w:pPr>
            <w:r w:rsidRPr="00FD26D1">
              <w:rPr>
                <w:b/>
                <w:bCs/>
                <w:sz w:val="22"/>
                <w:szCs w:val="22"/>
              </w:rPr>
              <w:t>Cocktail Party Pitch</w:t>
            </w:r>
          </w:p>
          <w:p w14:paraId="7FD4593C" w14:textId="1793A6CE" w:rsidR="00E2409A" w:rsidRPr="00E2409A" w:rsidRDefault="004106A7" w:rsidP="004106A7">
            <w:pPr>
              <w:rPr>
                <w:sz w:val="22"/>
                <w:szCs w:val="22"/>
              </w:rPr>
            </w:pPr>
            <w:r w:rsidRPr="00FD26D1">
              <w:rPr>
                <w:sz w:val="22"/>
                <w:szCs w:val="22"/>
              </w:rPr>
              <w:t>PCD Australia</w:t>
            </w:r>
            <w:r w:rsidR="004A700D" w:rsidRPr="00FD26D1">
              <w:rPr>
                <w:sz w:val="22"/>
                <w:szCs w:val="22"/>
              </w:rPr>
              <w:t xml:space="preserve"> </w:t>
            </w:r>
            <w:r w:rsidR="00E70420" w:rsidRPr="00FD26D1">
              <w:rPr>
                <w:sz w:val="22"/>
                <w:szCs w:val="22"/>
              </w:rPr>
              <w:t xml:space="preserve">is a passionate </w:t>
            </w:r>
            <w:r w:rsidR="004A700D" w:rsidRPr="00FD26D1">
              <w:rPr>
                <w:sz w:val="22"/>
                <w:szCs w:val="22"/>
              </w:rPr>
              <w:t>advocate for the delivery of f</w:t>
            </w:r>
            <w:r w:rsidRPr="00FD26D1">
              <w:rPr>
                <w:sz w:val="22"/>
                <w:szCs w:val="22"/>
              </w:rPr>
              <w:t>irst</w:t>
            </w:r>
            <w:r w:rsidR="004A700D" w:rsidRPr="00FD26D1">
              <w:rPr>
                <w:sz w:val="22"/>
                <w:szCs w:val="22"/>
              </w:rPr>
              <w:t>-</w:t>
            </w:r>
            <w:r w:rsidRPr="00FD26D1">
              <w:rPr>
                <w:sz w:val="22"/>
                <w:szCs w:val="22"/>
              </w:rPr>
              <w:t xml:space="preserve">class </w:t>
            </w:r>
            <w:r w:rsidR="004A700D" w:rsidRPr="00FD26D1">
              <w:rPr>
                <w:sz w:val="22"/>
                <w:szCs w:val="22"/>
              </w:rPr>
              <w:t xml:space="preserve">medical </w:t>
            </w:r>
            <w:r w:rsidRPr="00FD26D1">
              <w:rPr>
                <w:sz w:val="22"/>
                <w:szCs w:val="22"/>
              </w:rPr>
              <w:t>care and rapid diagnosis</w:t>
            </w:r>
            <w:r w:rsidR="004A700D" w:rsidRPr="00FD26D1">
              <w:rPr>
                <w:sz w:val="22"/>
                <w:szCs w:val="22"/>
              </w:rPr>
              <w:t xml:space="preserve">. </w:t>
            </w:r>
            <w:r w:rsidR="00757B59" w:rsidRPr="00FD26D1">
              <w:rPr>
                <w:sz w:val="22"/>
                <w:szCs w:val="22"/>
              </w:rPr>
              <w:t>As an exceptionally</w:t>
            </w:r>
            <w:r w:rsidRPr="00FD26D1">
              <w:rPr>
                <w:sz w:val="22"/>
                <w:szCs w:val="22"/>
              </w:rPr>
              <w:t xml:space="preserve"> demanding disease</w:t>
            </w:r>
            <w:r w:rsidR="00E70420" w:rsidRPr="00FD26D1">
              <w:rPr>
                <w:sz w:val="22"/>
                <w:szCs w:val="22"/>
              </w:rPr>
              <w:t>,</w:t>
            </w:r>
            <w:r w:rsidRPr="00FD26D1">
              <w:rPr>
                <w:sz w:val="22"/>
                <w:szCs w:val="22"/>
              </w:rPr>
              <w:t xml:space="preserve"> </w:t>
            </w:r>
            <w:r w:rsidR="001706E2" w:rsidRPr="00FD26D1">
              <w:rPr>
                <w:sz w:val="22"/>
                <w:szCs w:val="22"/>
              </w:rPr>
              <w:t xml:space="preserve">PCD </w:t>
            </w:r>
            <w:r w:rsidRPr="00FD26D1">
              <w:rPr>
                <w:sz w:val="22"/>
                <w:szCs w:val="22"/>
              </w:rPr>
              <w:t xml:space="preserve">requires considerable ongoing </w:t>
            </w:r>
            <w:r w:rsidR="001706E2" w:rsidRPr="00FD26D1">
              <w:rPr>
                <w:sz w:val="22"/>
                <w:szCs w:val="22"/>
              </w:rPr>
              <w:t>management</w:t>
            </w:r>
            <w:r w:rsidR="00FD26D1">
              <w:rPr>
                <w:sz w:val="22"/>
                <w:szCs w:val="22"/>
              </w:rPr>
              <w:t>,</w:t>
            </w:r>
            <w:r w:rsidRPr="00FD26D1">
              <w:rPr>
                <w:sz w:val="22"/>
                <w:szCs w:val="22"/>
              </w:rPr>
              <w:t xml:space="preserve"> and </w:t>
            </w:r>
            <w:r w:rsidR="004A700D" w:rsidRPr="00FD26D1">
              <w:rPr>
                <w:sz w:val="22"/>
                <w:szCs w:val="22"/>
              </w:rPr>
              <w:t>this can be costly</w:t>
            </w:r>
            <w:r w:rsidRPr="00FD26D1">
              <w:rPr>
                <w:sz w:val="22"/>
                <w:szCs w:val="22"/>
              </w:rPr>
              <w:t>.</w:t>
            </w:r>
            <w:r w:rsidR="004A700D" w:rsidRPr="00FD26D1">
              <w:rPr>
                <w:sz w:val="22"/>
                <w:szCs w:val="22"/>
              </w:rPr>
              <w:t xml:space="preserve"> PCD Australia provid</w:t>
            </w:r>
            <w:r w:rsidR="001706E2" w:rsidRPr="00FD26D1">
              <w:rPr>
                <w:sz w:val="22"/>
                <w:szCs w:val="22"/>
              </w:rPr>
              <w:t>es direct</w:t>
            </w:r>
            <w:r w:rsidR="004A700D" w:rsidRPr="00FD26D1">
              <w:rPr>
                <w:sz w:val="22"/>
                <w:szCs w:val="22"/>
              </w:rPr>
              <w:t xml:space="preserve"> </w:t>
            </w:r>
            <w:r w:rsidR="00E70420" w:rsidRPr="00FD26D1">
              <w:rPr>
                <w:sz w:val="22"/>
                <w:szCs w:val="22"/>
              </w:rPr>
              <w:t xml:space="preserve">assistance and peer support </w:t>
            </w:r>
            <w:r w:rsidR="004A700D" w:rsidRPr="00FD26D1">
              <w:rPr>
                <w:sz w:val="22"/>
                <w:szCs w:val="22"/>
              </w:rPr>
              <w:t>to people with PCD so</w:t>
            </w:r>
            <w:r w:rsidR="001706E2" w:rsidRPr="00FD26D1">
              <w:rPr>
                <w:sz w:val="22"/>
                <w:szCs w:val="22"/>
              </w:rPr>
              <w:t xml:space="preserve"> they</w:t>
            </w:r>
            <w:r w:rsidR="004A700D" w:rsidRPr="00FD26D1">
              <w:rPr>
                <w:sz w:val="22"/>
                <w:szCs w:val="22"/>
              </w:rPr>
              <w:t xml:space="preserve"> can access the best t</w:t>
            </w:r>
            <w:r w:rsidR="001706E2" w:rsidRPr="00FD26D1">
              <w:rPr>
                <w:sz w:val="22"/>
                <w:szCs w:val="22"/>
              </w:rPr>
              <w:t>reatments and services.</w:t>
            </w:r>
            <w:r w:rsidRPr="00FD26D1">
              <w:rPr>
                <w:sz w:val="22"/>
                <w:szCs w:val="22"/>
              </w:rPr>
              <w:t xml:space="preserve"> Currently </w:t>
            </w:r>
            <w:r w:rsidR="00FD26D1">
              <w:rPr>
                <w:sz w:val="22"/>
                <w:szCs w:val="22"/>
              </w:rPr>
              <w:t>200</w:t>
            </w:r>
            <w:r w:rsidR="00232C86">
              <w:rPr>
                <w:sz w:val="22"/>
                <w:szCs w:val="22"/>
              </w:rPr>
              <w:t xml:space="preserve"> </w:t>
            </w:r>
            <w:r w:rsidRPr="00FD26D1">
              <w:rPr>
                <w:sz w:val="22"/>
                <w:szCs w:val="22"/>
              </w:rPr>
              <w:t xml:space="preserve">Australians </w:t>
            </w:r>
            <w:r w:rsidR="007455A3" w:rsidRPr="00FD26D1">
              <w:rPr>
                <w:sz w:val="22"/>
                <w:szCs w:val="22"/>
              </w:rPr>
              <w:t xml:space="preserve">are diagnosed as having PCD </w:t>
            </w:r>
            <w:r w:rsidRPr="00FD26D1">
              <w:rPr>
                <w:sz w:val="22"/>
                <w:szCs w:val="22"/>
              </w:rPr>
              <w:t xml:space="preserve">but </w:t>
            </w:r>
            <w:r w:rsidR="001706E2" w:rsidRPr="00FD26D1">
              <w:rPr>
                <w:sz w:val="22"/>
                <w:szCs w:val="22"/>
              </w:rPr>
              <w:t xml:space="preserve">due to </w:t>
            </w:r>
            <w:r w:rsidR="00E70420" w:rsidRPr="00FD26D1">
              <w:rPr>
                <w:sz w:val="22"/>
                <w:szCs w:val="22"/>
              </w:rPr>
              <w:t xml:space="preserve">limited </w:t>
            </w:r>
            <w:r w:rsidR="001706E2" w:rsidRPr="00FD26D1">
              <w:rPr>
                <w:sz w:val="22"/>
                <w:szCs w:val="22"/>
              </w:rPr>
              <w:t xml:space="preserve">diagnosis </w:t>
            </w:r>
            <w:r w:rsidR="00E70420" w:rsidRPr="00FD26D1">
              <w:rPr>
                <w:sz w:val="22"/>
                <w:szCs w:val="22"/>
              </w:rPr>
              <w:t xml:space="preserve">facilities </w:t>
            </w:r>
            <w:r w:rsidRPr="00FD26D1">
              <w:rPr>
                <w:sz w:val="22"/>
                <w:szCs w:val="22"/>
              </w:rPr>
              <w:t xml:space="preserve">the incidence of PCD </w:t>
            </w:r>
            <w:r w:rsidR="001706E2" w:rsidRPr="00FD26D1">
              <w:rPr>
                <w:sz w:val="22"/>
                <w:szCs w:val="22"/>
              </w:rPr>
              <w:t xml:space="preserve">could be much </w:t>
            </w:r>
            <w:r w:rsidRPr="00FD26D1">
              <w:rPr>
                <w:sz w:val="22"/>
                <w:szCs w:val="22"/>
              </w:rPr>
              <w:t>higher.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1454E" w14:paraId="61783230" w14:textId="77777777" w:rsidTr="007975D3">
        <w:tc>
          <w:tcPr>
            <w:tcW w:w="11199" w:type="dxa"/>
            <w:gridSpan w:val="5"/>
            <w:shd w:val="clear" w:color="auto" w:fill="B4C6E7" w:themeFill="accent1" w:themeFillTint="66"/>
          </w:tcPr>
          <w:p w14:paraId="151BAAE8" w14:textId="77777777" w:rsidR="0001454E" w:rsidRPr="00E2409A" w:rsidRDefault="0001454E">
            <w:pPr>
              <w:rPr>
                <w:sz w:val="22"/>
                <w:szCs w:val="22"/>
              </w:rPr>
            </w:pPr>
          </w:p>
        </w:tc>
      </w:tr>
      <w:tr w:rsidR="0001454E" w14:paraId="73C68C7C" w14:textId="77777777" w:rsidTr="007975D3">
        <w:tc>
          <w:tcPr>
            <w:tcW w:w="11199" w:type="dxa"/>
            <w:gridSpan w:val="5"/>
          </w:tcPr>
          <w:p w14:paraId="513CC5E6" w14:textId="77777777" w:rsidR="0001454E" w:rsidRPr="0001454E" w:rsidRDefault="0001454E">
            <w:pPr>
              <w:rPr>
                <w:b/>
                <w:bCs/>
                <w:sz w:val="28"/>
                <w:szCs w:val="28"/>
              </w:rPr>
            </w:pPr>
            <w:r w:rsidRPr="0001454E">
              <w:rPr>
                <w:b/>
                <w:bCs/>
                <w:sz w:val="28"/>
                <w:szCs w:val="28"/>
              </w:rPr>
              <w:t>Funding</w:t>
            </w:r>
          </w:p>
          <w:p w14:paraId="57A7FF5B" w14:textId="129D6488" w:rsidR="00620483" w:rsidRPr="00E2409A" w:rsidRDefault="00620483" w:rsidP="00620483">
            <w:pPr>
              <w:rPr>
                <w:sz w:val="22"/>
                <w:szCs w:val="22"/>
              </w:rPr>
            </w:pPr>
            <w:r w:rsidRPr="00E2409A">
              <w:rPr>
                <w:sz w:val="22"/>
                <w:szCs w:val="22"/>
              </w:rPr>
              <w:t xml:space="preserve">… currently through local community </w:t>
            </w:r>
            <w:r>
              <w:rPr>
                <w:sz w:val="22"/>
                <w:szCs w:val="22"/>
              </w:rPr>
              <w:t>and events</w:t>
            </w:r>
          </w:p>
          <w:p w14:paraId="62FC27EA" w14:textId="77777777" w:rsidR="00620483" w:rsidRPr="00E2409A" w:rsidRDefault="00620483" w:rsidP="00620483">
            <w:pPr>
              <w:rPr>
                <w:sz w:val="22"/>
                <w:szCs w:val="22"/>
              </w:rPr>
            </w:pPr>
          </w:p>
          <w:p w14:paraId="4F67CAA7" w14:textId="37E944DE" w:rsidR="0001454E" w:rsidRDefault="00620483" w:rsidP="00620483">
            <w:pPr>
              <w:rPr>
                <w:sz w:val="22"/>
                <w:szCs w:val="22"/>
              </w:rPr>
            </w:pPr>
            <w:r w:rsidRPr="00E2409A">
              <w:rPr>
                <w:sz w:val="22"/>
                <w:szCs w:val="22"/>
              </w:rPr>
              <w:t xml:space="preserve">… future opportunities include </w:t>
            </w:r>
            <w:r>
              <w:rPr>
                <w:sz w:val="22"/>
                <w:szCs w:val="22"/>
              </w:rPr>
              <w:t>c</w:t>
            </w:r>
            <w:r w:rsidR="003C7A0E" w:rsidRPr="00E2409A">
              <w:rPr>
                <w:sz w:val="22"/>
                <w:szCs w:val="22"/>
              </w:rPr>
              <w:t>orporates</w:t>
            </w:r>
            <w:r w:rsidR="0031278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</w:t>
            </w:r>
            <w:r w:rsidR="003C7A0E" w:rsidRPr="00E2409A">
              <w:rPr>
                <w:sz w:val="22"/>
                <w:szCs w:val="22"/>
              </w:rPr>
              <w:t>harma</w:t>
            </w:r>
            <w:r w:rsidR="00312781">
              <w:rPr>
                <w:sz w:val="22"/>
                <w:szCs w:val="22"/>
              </w:rPr>
              <w:t xml:space="preserve"> sponsorships</w:t>
            </w:r>
            <w:r w:rsidR="003C7A0E" w:rsidRPr="00E2409A">
              <w:rPr>
                <w:sz w:val="22"/>
                <w:szCs w:val="22"/>
              </w:rPr>
              <w:t xml:space="preserve">, </w:t>
            </w:r>
            <w:r w:rsidR="00312781">
              <w:rPr>
                <w:sz w:val="22"/>
                <w:szCs w:val="22"/>
              </w:rPr>
              <w:t xml:space="preserve">government and community </w:t>
            </w:r>
            <w:r>
              <w:rPr>
                <w:sz w:val="22"/>
                <w:szCs w:val="22"/>
              </w:rPr>
              <w:t>g</w:t>
            </w:r>
            <w:r w:rsidR="003C7A0E" w:rsidRPr="00E2409A">
              <w:rPr>
                <w:sz w:val="22"/>
                <w:szCs w:val="22"/>
              </w:rPr>
              <w:t xml:space="preserve">rants, </w:t>
            </w:r>
            <w:r>
              <w:rPr>
                <w:sz w:val="22"/>
                <w:szCs w:val="22"/>
              </w:rPr>
              <w:t>greater c</w:t>
            </w:r>
            <w:r w:rsidR="003C7A0E" w:rsidRPr="00E2409A">
              <w:rPr>
                <w:sz w:val="22"/>
                <w:szCs w:val="22"/>
              </w:rPr>
              <w:t>ommunity</w:t>
            </w:r>
            <w:r>
              <w:rPr>
                <w:sz w:val="22"/>
                <w:szCs w:val="22"/>
              </w:rPr>
              <w:t xml:space="preserve"> involvement</w:t>
            </w:r>
            <w:r w:rsidR="003C7A0E" w:rsidRPr="00E2409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larger e</w:t>
            </w:r>
            <w:r w:rsidR="003C7A0E" w:rsidRPr="00E2409A">
              <w:rPr>
                <w:sz w:val="22"/>
                <w:szCs w:val="22"/>
              </w:rPr>
              <w:t xml:space="preserve">vents </w:t>
            </w:r>
            <w:r w:rsidR="00312781">
              <w:rPr>
                <w:sz w:val="22"/>
                <w:szCs w:val="22"/>
              </w:rPr>
              <w:t xml:space="preserve">and fundraising campaigns, membership fees plus </w:t>
            </w:r>
            <w:r>
              <w:rPr>
                <w:sz w:val="22"/>
                <w:szCs w:val="22"/>
              </w:rPr>
              <w:t>d</w:t>
            </w:r>
            <w:r w:rsidR="003C7A0E" w:rsidRPr="00E2409A">
              <w:rPr>
                <w:sz w:val="22"/>
                <w:szCs w:val="22"/>
              </w:rPr>
              <w:t>onors</w:t>
            </w:r>
            <w:r w:rsidR="00312781">
              <w:rPr>
                <w:sz w:val="22"/>
                <w:szCs w:val="22"/>
              </w:rPr>
              <w:t>.</w:t>
            </w:r>
          </w:p>
          <w:p w14:paraId="00BD287A" w14:textId="2B3C9D35" w:rsidR="007975D3" w:rsidRPr="00E2409A" w:rsidRDefault="007975D3" w:rsidP="00620483">
            <w:pPr>
              <w:rPr>
                <w:sz w:val="22"/>
                <w:szCs w:val="22"/>
              </w:rPr>
            </w:pPr>
          </w:p>
        </w:tc>
      </w:tr>
      <w:tr w:rsidR="0001454E" w14:paraId="74467EAA" w14:textId="77777777" w:rsidTr="007975D3">
        <w:tc>
          <w:tcPr>
            <w:tcW w:w="11199" w:type="dxa"/>
            <w:gridSpan w:val="5"/>
            <w:shd w:val="clear" w:color="auto" w:fill="B4C6E7" w:themeFill="accent1" w:themeFillTint="66"/>
          </w:tcPr>
          <w:p w14:paraId="79D4D042" w14:textId="4F76485A" w:rsidR="0001454E" w:rsidRPr="00E2409A" w:rsidRDefault="0001454E">
            <w:pPr>
              <w:rPr>
                <w:sz w:val="22"/>
                <w:szCs w:val="22"/>
              </w:rPr>
            </w:pPr>
          </w:p>
        </w:tc>
      </w:tr>
      <w:tr w:rsidR="00656D96" w14:paraId="607B1BA6" w14:textId="77777777" w:rsidTr="007975D3">
        <w:tc>
          <w:tcPr>
            <w:tcW w:w="11199" w:type="dxa"/>
            <w:gridSpan w:val="5"/>
          </w:tcPr>
          <w:p w14:paraId="4FAF954C" w14:textId="2001A7F4" w:rsidR="00656D96" w:rsidRPr="0001454E" w:rsidRDefault="000145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Brand Values</w:t>
            </w:r>
          </w:p>
          <w:p w14:paraId="70092E28" w14:textId="77777777" w:rsidR="0001454E" w:rsidRDefault="00DA55D5" w:rsidP="00797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Passionate and </w:t>
            </w:r>
            <w:r w:rsidR="005563C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riven </w:t>
            </w:r>
            <w:r w:rsidR="005563CD">
              <w:rPr>
                <w:sz w:val="22"/>
                <w:szCs w:val="22"/>
              </w:rPr>
              <w:t>survivors</w:t>
            </w:r>
            <w:r>
              <w:rPr>
                <w:sz w:val="22"/>
                <w:szCs w:val="22"/>
              </w:rPr>
              <w:t xml:space="preserve">    Hardworking and </w:t>
            </w:r>
            <w:r w:rsidR="005563C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triving to </w:t>
            </w:r>
            <w:r w:rsidR="005563C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chieve</w:t>
            </w:r>
            <w:r w:rsidR="005563CD">
              <w:rPr>
                <w:sz w:val="22"/>
                <w:szCs w:val="22"/>
              </w:rPr>
              <w:t xml:space="preserve">     Empathetic and </w:t>
            </w:r>
            <w:r w:rsidR="007975D3">
              <w:rPr>
                <w:sz w:val="22"/>
                <w:szCs w:val="22"/>
              </w:rPr>
              <w:t>knowledgeable supporters</w:t>
            </w:r>
          </w:p>
          <w:p w14:paraId="28E125FD" w14:textId="33C38D1C" w:rsidR="007975D3" w:rsidRPr="00E2409A" w:rsidRDefault="007975D3" w:rsidP="007975D3">
            <w:pPr>
              <w:jc w:val="center"/>
              <w:rPr>
                <w:sz w:val="22"/>
                <w:szCs w:val="22"/>
              </w:rPr>
            </w:pPr>
          </w:p>
        </w:tc>
      </w:tr>
      <w:tr w:rsidR="00620483" w:rsidRPr="00620483" w14:paraId="3B9ED089" w14:textId="77777777" w:rsidTr="007975D3">
        <w:tc>
          <w:tcPr>
            <w:tcW w:w="11199" w:type="dxa"/>
            <w:gridSpan w:val="5"/>
            <w:shd w:val="clear" w:color="auto" w:fill="B4C6E7" w:themeFill="accent1" w:themeFillTint="66"/>
          </w:tcPr>
          <w:p w14:paraId="100C1C1A" w14:textId="4F31E62E" w:rsidR="00620483" w:rsidRPr="00620483" w:rsidRDefault="00620483" w:rsidP="00620483">
            <w:pPr>
              <w:tabs>
                <w:tab w:val="left" w:pos="8622"/>
              </w:tabs>
              <w:jc w:val="right"/>
              <w:rPr>
                <w:b/>
                <w:bCs/>
              </w:rPr>
            </w:pPr>
            <w:r w:rsidRPr="00620483">
              <w:rPr>
                <w:b/>
                <w:bCs/>
              </w:rPr>
              <w:tab/>
            </w:r>
            <w:r w:rsidR="00997503">
              <w:rPr>
                <w:b/>
                <w:bCs/>
              </w:rPr>
              <w:t>J</w:t>
            </w:r>
            <w:r w:rsidRPr="00620483">
              <w:rPr>
                <w:b/>
                <w:bCs/>
              </w:rPr>
              <w:t>uly 2022</w:t>
            </w:r>
          </w:p>
        </w:tc>
      </w:tr>
    </w:tbl>
    <w:p w14:paraId="263175D1" w14:textId="77777777" w:rsidR="00656D96" w:rsidRDefault="00656D96" w:rsidP="00997503"/>
    <w:sectPr w:rsidR="00656D96" w:rsidSect="0099750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C93"/>
    <w:multiLevelType w:val="hybridMultilevel"/>
    <w:tmpl w:val="5B4CE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65E51"/>
    <w:multiLevelType w:val="hybridMultilevel"/>
    <w:tmpl w:val="2ACC4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329DC"/>
    <w:multiLevelType w:val="hybridMultilevel"/>
    <w:tmpl w:val="0DC6D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A4B33"/>
    <w:multiLevelType w:val="hybridMultilevel"/>
    <w:tmpl w:val="43D0E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E11D1"/>
    <w:multiLevelType w:val="hybridMultilevel"/>
    <w:tmpl w:val="E3CC9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24CB2"/>
    <w:multiLevelType w:val="hybridMultilevel"/>
    <w:tmpl w:val="FEA48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037FA"/>
    <w:multiLevelType w:val="hybridMultilevel"/>
    <w:tmpl w:val="55948066"/>
    <w:lvl w:ilvl="0" w:tplc="30582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615F8"/>
    <w:multiLevelType w:val="hybridMultilevel"/>
    <w:tmpl w:val="00F27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96"/>
    <w:rsid w:val="0001454E"/>
    <w:rsid w:val="001706E2"/>
    <w:rsid w:val="001A49C9"/>
    <w:rsid w:val="002040B3"/>
    <w:rsid w:val="00232C86"/>
    <w:rsid w:val="00240E51"/>
    <w:rsid w:val="002B5ACA"/>
    <w:rsid w:val="00307C51"/>
    <w:rsid w:val="00312781"/>
    <w:rsid w:val="003C7A0E"/>
    <w:rsid w:val="004106A7"/>
    <w:rsid w:val="004A700D"/>
    <w:rsid w:val="00544A72"/>
    <w:rsid w:val="005563CD"/>
    <w:rsid w:val="0057029B"/>
    <w:rsid w:val="00620483"/>
    <w:rsid w:val="00656D96"/>
    <w:rsid w:val="006F0707"/>
    <w:rsid w:val="007455A3"/>
    <w:rsid w:val="00757B59"/>
    <w:rsid w:val="007975D3"/>
    <w:rsid w:val="008003D9"/>
    <w:rsid w:val="008145EF"/>
    <w:rsid w:val="008A06AB"/>
    <w:rsid w:val="00997503"/>
    <w:rsid w:val="00A77A51"/>
    <w:rsid w:val="00AF0403"/>
    <w:rsid w:val="00B22B81"/>
    <w:rsid w:val="00C23CA0"/>
    <w:rsid w:val="00CF61C2"/>
    <w:rsid w:val="00DA55D5"/>
    <w:rsid w:val="00E2409A"/>
    <w:rsid w:val="00E70420"/>
    <w:rsid w:val="00ED6E52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3E63"/>
  <w15:chartTrackingRefBased/>
  <w15:docId w15:val="{0E8DB0B0-E4FF-594F-9A04-4E8FAE5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Burke</dc:creator>
  <cp:keywords/>
  <dc:description/>
  <cp:lastModifiedBy>Catherine Kruljac</cp:lastModifiedBy>
  <cp:revision>2</cp:revision>
  <dcterms:created xsi:type="dcterms:W3CDTF">2022-08-03T02:02:00Z</dcterms:created>
  <dcterms:modified xsi:type="dcterms:W3CDTF">2022-08-03T02:02:00Z</dcterms:modified>
</cp:coreProperties>
</file>